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58</w:t>
      </w:r>
    </w:p>
    <w:p>
      <w:r>
        <w:t>Bundesgericht (BGE), 1987-05-15, DE</w:t>
      </w:r>
    </w:p>
    <w:p>
      <w:r>
        <w:rPr>
          <w:b/>
        </w:rPr>
        <w:t xml:space="preserve">Quelle: </w:t>
      </w:r>
      <w:r>
        <w:t>https://mcp.opencaselaw.ch/entscheid/bge_113 IV 58</w:t>
      </w:r>
    </w:p>
    <w:p>
      <w:r>
        <w:t>FR: ATF 113 IV 58</w:t>
      </w:r>
    </w:p>
    <w:p>
      <w:r>
        <w:t>IT: DTF 113 IV 58</w:t>
      </w:r>
    </w:p>
    <w:p>
      <w:pPr>
        <w:pStyle w:val="Heading2"/>
      </w:pPr>
      <w:r>
        <w:t>Regeste</w:t>
      </w:r>
    </w:p>
    <w:p>
      <w:r>
        <w:t>Regeste Art. 117 StGB; fahrlässige Tötung (Kausalität). Haben mehrere Personen eine einzige (sorgfaltswidrige) Handlung beschlossen und in arbeitsteiliger Weise durchgeführt, so hat die Bejahung der Kausalität zwischen der gemeinsam vorgenommenen Gesamthandlung und dem eingetretenen Erfolg die Strafbarkeit aller Beteiligten zur Folge.</w:t>
      </w:r>
    </w:p>
    <w:p>
      <w:pPr>
        <w:pStyle w:val="Heading2"/>
      </w:pPr>
      <w:r>
        <w:t>Erwägungen</w:t>
      </w:r>
    </w:p>
    <w:p>
      <w:r>
        <w:rPr>
          <w:b/>
        </w:rPr>
        <w:t>E. 1</w:t>
      </w:r>
    </w:p>
    <w:p>
      <w:r>
        <w:t>Beide kantonalen Instanzen haben offengelassen, von welchem der beiden Steine C. tödlich getroffen wurde. Das Obergericht geht von einer gemeinsamen Entschlussfassung der Angeklagten aus, die beiden Steine den Abhang hinunterrollen zu lassen. Gemeinsames Handlungsziel sei gewesen, beide Steine vom Wegrand zu entfernen. Insofern habe die arbeitsteilige Vornahme einer einzigen Gesamthandlung vorgelegen. Der Geschehensablauf sei von der Entschlussfassung bis zu deren Verwirklichung als einheitliches Tun aufzufassen. Entscheidend sei, dass das Hinunterrollen beider Steine ursächlich für den Tod des Geschädigten gewesen sei. Mit der Nichtigkeitsbeschwerde wird geltend gemacht, das Obergericht habe zu Unrecht angenommen, das Vorgehen des Beschwerdeführers A. sei für den Tod von C. kausal geworden.</w:t>
      </w:r>
    </w:p>
    <w:p>
      <w:r>
        <w:rPr>
          <w:b/>
        </w:rPr>
        <w:t>E. 2</w:t>
      </w:r>
    </w:p>
    <w:p>
      <w:r>
        <w:t>Gemäss Art. 117 StGB macht sich strafbar, wer fahrlässig den Tod eines Menschen verursacht. Der tatbestandsmässige Erfolg und die Fahrlässigkeit sind vorliegendenfalls unstrittig gegeben. Zu prüfen bleibt einzig, ob der Tod des C. dem Verhalten des A. zugerechnet werden kann, obwohl nicht festgestellt ist, dass der von A. den Hang hinuntergerollte Stein den C. getötet hat. Täter einer fahrlässigen Straftat ist jeder, der durch sorgfaltswidriges Verhalten zur Tatbestandserfüllung beiträgt (STRATENWERTH, Schweizerisches Strafrecht AT I, Bern 1982, S. 416), obschon er bei Beachtung der ihm persönlich obliegenden Sorgfaltspflicht die derart herbeigeführte Verwirklichung des Straftatbestandes hätte voraussehen und vermeiden können (SCHULTZ, Schweizerisches Strafrecht AT I, 4. Aufl., Bern 1982, S. 202). Dies gilt auch dann, wenn andere neben ihm in ähnlicher Weise mitgewirkt haben (STRATENWERTH, a.a.O., S. 416), m.a.W. sind mehrere Personen, die fahrlässig denselben Erfolg herbeigeführt haben, alle als Fahrlässigkeitstäter strafbar (NOLL/TRECHSEL, Schweizerisches Strafrecht AT I, 2. Aufl., Zürich 1986, S. 170; ebenso SCHUBARTH, BGE 113 IV 58 S. 60 Kommentar zum schweizerischen Strafrecht, Bern 1982, N 87 zu Art. 117 StGB ). Vorliegendenfalls steht fest, dass beide Angeklagten gemeinsam die beiden Steine den Abhang hinunterrollen lassen wollten. Bei einer derartigen Konstellation ist nicht danach zu fragen, ob der jeweilige Einzelbeitrag für den tatbestandsmässigen Erfolg kausal geworden ist, sondern ob die Kausalität zwischen der gemeinsam vorgenommenen Gesamthandlung und dem eingetretenen Erfolg zu bejahen ist. Jedenfalls muss dies gelten, wenn, wie vorliegendenfalls, die sorgfaltswidrige Handlung gemeinsam beschlossen und in der Folge in einem nahen örtlichen und zeitlichen Zusammenhang gemeinsam durchgeführt wird, wobei es der zufälligen Arbeitsteilung überlassen bleibt, wer welchen Stein ins Rollen bringt. Ist aber davon auszugehen, dass jedenfalls einer der beiden Steine den Tod des Opfers bewirkt hat, genügt dies zur Feststellung, dass das Verhalten des Beschwerdeführers für den eingetretenen Tod kausal geworden ist. Anders zu entscheiden wäre dann, wenn die beiden Angeklagten unabhängig voneinander gehandelt hätten. Die Vorinstanz hat somit die Kausalität zu Recht bejaht. Damit erübrigt es sich, auf die zusätzliche Erwägung des Obergerichtes einzugehen, die Verurteilung könne auch in Anwendung der Risikoerhöhungstheorie erfolgen, da durch den Steinwurf des Beschwerdeführers eine wesentliche Risikoerhöhung im Sinne jener Lehre zweifellos zu bejahen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